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C3F5E">
        <w:rPr>
          <w:b/>
          <w:sz w:val="20"/>
          <w:szCs w:val="20"/>
          <w:lang w:val="kk-KZ"/>
        </w:rPr>
        <w:t xml:space="preserve"> </w:t>
      </w:r>
      <w:r w:rsidR="00C119D6" w:rsidRPr="00C119D6">
        <w:rPr>
          <w:b/>
          <w:sz w:val="20"/>
          <w:szCs w:val="20"/>
        </w:rPr>
        <w:t>«</w:t>
      </w:r>
      <w:r w:rsidR="00A22647">
        <w:rPr>
          <w:b/>
          <w:sz w:val="20"/>
          <w:szCs w:val="20"/>
          <w:lang w:val="kk-KZ"/>
        </w:rPr>
        <w:t xml:space="preserve"> 7</w:t>
      </w:r>
      <w:r w:rsidR="00A22647">
        <w:rPr>
          <w:b/>
          <w:sz w:val="20"/>
          <w:szCs w:val="20"/>
          <w:lang w:val="en-US"/>
        </w:rPr>
        <w:t>M02219</w:t>
      </w:r>
      <w:r w:rsidR="00CC3F5E" w:rsidRPr="00CC3F5E">
        <w:rPr>
          <w:b/>
          <w:sz w:val="20"/>
          <w:szCs w:val="20"/>
        </w:rPr>
        <w:t>-</w:t>
      </w:r>
      <w:r w:rsidR="00A22647">
        <w:rPr>
          <w:b/>
          <w:sz w:val="20"/>
          <w:szCs w:val="20"/>
          <w:lang w:val="kk-KZ"/>
        </w:rPr>
        <w:t>Археология</w:t>
      </w:r>
      <w:r w:rsidR="00C119D6" w:rsidRPr="00C119D6">
        <w:rPr>
          <w:b/>
          <w:sz w:val="20"/>
          <w:szCs w:val="20"/>
        </w:rPr>
        <w:t xml:space="preserve"> 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:rsidR="00E13558" w:rsidRPr="00A22647" w:rsidRDefault="00A22647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101681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13558" w:rsidRDefault="000406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Этнокультурные процессы на территории древнего и средневекового Казахстана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F856D7" w:rsidP="00984B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513FE2" w:rsidRDefault="00A226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F856D7" w:rsidRDefault="00F856D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42270" w:rsidRDefault="00D422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F856D7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84BD7" w:rsidRDefault="0098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  <w:r w:rsidRPr="00984BD7">
              <w:rPr>
                <w:bCs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45CB1" w:rsidRDefault="00984BD7" w:rsidP="00675424">
            <w:pPr>
              <w:rPr>
                <w:sz w:val="20"/>
                <w:szCs w:val="20"/>
              </w:rPr>
            </w:pPr>
            <w:r w:rsidRPr="00C45CB1">
              <w:rPr>
                <w:sz w:val="20"/>
                <w:szCs w:val="20"/>
                <w:lang w:val="kk-KZ"/>
              </w:rPr>
              <w:t>Оффлайн (письменно</w:t>
            </w:r>
            <w:r w:rsidRPr="00C45CB1">
              <w:rPr>
                <w:sz w:val="20"/>
                <w:szCs w:val="20"/>
              </w:rPr>
              <w:t>)</w:t>
            </w:r>
          </w:p>
        </w:tc>
      </w:tr>
      <w:tr w:rsidR="00A77510" w:rsidRPr="003F2DC5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36ED7" w:rsidRDefault="00136ED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Bek_ok@mail7ru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 w:rsidP="00A22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22647">
              <w:rPr>
                <w:sz w:val="20"/>
                <w:szCs w:val="20"/>
              </w:rPr>
              <w:t>7054416313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10357" w:rsidRDefault="00A7751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A558A" w:rsidRDefault="00A77510" w:rsidP="00F1036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10357" w:rsidRDefault="00A77510" w:rsidP="00F103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D07190" w:rsidRDefault="00F840AA" w:rsidP="00FA79B5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1</w:t>
            </w:r>
            <w:r w:rsidRPr="00182B08">
              <w:rPr>
                <w:color w:val="FF0000"/>
                <w:sz w:val="20"/>
                <w:szCs w:val="20"/>
                <w:lang w:val="kk-KZ"/>
              </w:rPr>
              <w:t>.</w:t>
            </w:r>
            <w:r w:rsidR="00513FE2" w:rsidRPr="00513FE2">
              <w:rPr>
                <w:color w:val="000000" w:themeColor="text1"/>
                <w:sz w:val="20"/>
                <w:szCs w:val="20"/>
                <w:lang w:val="kk-KZ"/>
              </w:rPr>
              <w:t>Формирование общего представления о профессиональной специфике научно-исследовательской деятельности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412670" w:rsidRDefault="00412670" w:rsidP="00BC635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Показать место </w:t>
            </w:r>
            <w:r w:rsidR="00BC6358">
              <w:rPr>
                <w:sz w:val="20"/>
                <w:szCs w:val="20"/>
                <w:lang w:val="kk-KZ"/>
              </w:rPr>
              <w:t xml:space="preserve">материальной и духовной культуры племен 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в системе </w:t>
            </w:r>
            <w:r w:rsidR="00BC6358">
              <w:rPr>
                <w:sz w:val="20"/>
                <w:szCs w:val="20"/>
                <w:lang w:val="kk-KZ"/>
              </w:rPr>
              <w:t>изучения исторических событий в этнокультурных процессах</w:t>
            </w: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FA79B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BC6358">
              <w:rPr>
                <w:sz w:val="20"/>
                <w:szCs w:val="20"/>
                <w:lang w:val="kk-KZ"/>
              </w:rPr>
              <w:t>У</w:t>
            </w:r>
            <w:r w:rsidR="00BC6358">
              <w:rPr>
                <w:sz w:val="20"/>
                <w:szCs w:val="20"/>
              </w:rPr>
              <w:t>ме</w:t>
            </w:r>
            <w:r w:rsidR="00FA79B5" w:rsidRPr="00FA79B5">
              <w:rPr>
                <w:sz w:val="20"/>
                <w:szCs w:val="20"/>
              </w:rPr>
              <w:t>т</w:t>
            </w:r>
            <w:r w:rsidR="00FA79B5" w:rsidRPr="00FA79B5">
              <w:rPr>
                <w:sz w:val="20"/>
                <w:szCs w:val="20"/>
                <w:lang w:val="kk-KZ"/>
              </w:rPr>
              <w:t>ь</w:t>
            </w:r>
            <w:r w:rsidR="00FA79B5" w:rsidRPr="00FA79B5">
              <w:rPr>
                <w:sz w:val="20"/>
                <w:szCs w:val="20"/>
              </w:rPr>
              <w:t xml:space="preserve"> проводить экспертную и аналитическую работу в гуманитарных, социальных и естественных науках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1C63F9" w:rsidRDefault="00A02A85" w:rsidP="00FA79B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13FE2" w:rsidRPr="00513FE2">
              <w:rPr>
                <w:sz w:val="20"/>
                <w:szCs w:val="20"/>
              </w:rPr>
              <w:t xml:space="preserve">Формирование в сознании учения о понятиях, гипотезах, теориях, позициях, познавательных возможностях </w:t>
            </w:r>
            <w:r w:rsidR="001C63F9">
              <w:rPr>
                <w:sz w:val="20"/>
                <w:szCs w:val="20"/>
                <w:lang w:val="kk-KZ"/>
              </w:rPr>
              <w:t>культур племен древнего и средневекоового Казахстана в этнокультурных процессах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BC6358" w:rsidRDefault="00A02A85" w:rsidP="00BC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1C6AA8">
              <w:t xml:space="preserve"> </w:t>
            </w:r>
            <w:r w:rsidR="001C6AA8" w:rsidRPr="001C6AA8">
              <w:rPr>
                <w:sz w:val="20"/>
                <w:szCs w:val="20"/>
                <w:lang w:val="kk-KZ"/>
              </w:rPr>
              <w:t xml:space="preserve">Уметь </w:t>
            </w:r>
            <w:r w:rsidR="001C6AA8" w:rsidRPr="001C6AA8">
              <w:rPr>
                <w:sz w:val="20"/>
                <w:szCs w:val="20"/>
              </w:rPr>
              <w:t xml:space="preserve">ориентироваться в выборе </w:t>
            </w:r>
            <w:r w:rsidR="00BC6358">
              <w:rPr>
                <w:sz w:val="20"/>
                <w:szCs w:val="20"/>
                <w:lang w:val="kk-KZ"/>
              </w:rPr>
              <w:t>гипотез и утверждений исследователей  в изучении этнокультурных процессах Казахстана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DB37F1">
              <w:rPr>
                <w:color w:val="000000"/>
                <w:sz w:val="20"/>
                <w:szCs w:val="20"/>
                <w:lang w:val="kk-KZ"/>
              </w:rPr>
              <w:t xml:space="preserve">Владеть </w:t>
            </w:r>
            <w:r w:rsidR="00DB37F1" w:rsidRPr="00DB37F1">
              <w:rPr>
                <w:sz w:val="20"/>
                <w:szCs w:val="20"/>
              </w:rPr>
              <w:t>навыками</w:t>
            </w:r>
            <w:r w:rsidR="00DB37F1">
              <w:rPr>
                <w:sz w:val="20"/>
                <w:szCs w:val="20"/>
              </w:rPr>
              <w:t xml:space="preserve"> поиска и работы с археологической</w:t>
            </w:r>
            <w:r w:rsidR="00BC6358">
              <w:rPr>
                <w:sz w:val="20"/>
                <w:szCs w:val="20"/>
                <w:lang w:val="kk-KZ"/>
              </w:rPr>
              <w:t xml:space="preserve"> и исторической</w:t>
            </w:r>
            <w:r w:rsidR="00DB37F1">
              <w:rPr>
                <w:sz w:val="20"/>
                <w:szCs w:val="20"/>
              </w:rPr>
              <w:t xml:space="preserve"> литературой (исследовани</w:t>
            </w:r>
            <w:r w:rsidR="00DB37F1" w:rsidRPr="00DB37F1">
              <w:rPr>
                <w:sz w:val="20"/>
                <w:szCs w:val="20"/>
              </w:rPr>
              <w:t xml:space="preserve">ями) и </w:t>
            </w:r>
            <w:r w:rsidR="00BC6358">
              <w:rPr>
                <w:sz w:val="20"/>
                <w:szCs w:val="20"/>
                <w:lang w:val="kk-KZ"/>
              </w:rPr>
              <w:t xml:space="preserve">письменными </w:t>
            </w:r>
            <w:r w:rsidR="00DB37F1" w:rsidRPr="00DB37F1">
              <w:rPr>
                <w:sz w:val="20"/>
                <w:szCs w:val="20"/>
              </w:rPr>
              <w:t>источниками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1C63F9" w:rsidRDefault="00A02A85" w:rsidP="001C63F9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</w:t>
            </w:r>
            <w:r w:rsidRPr="002C1CF6">
              <w:rPr>
                <w:sz w:val="20"/>
                <w:szCs w:val="20"/>
              </w:rPr>
              <w:t>.</w:t>
            </w:r>
            <w:r w:rsidR="002C1CF6" w:rsidRPr="002C1CF6">
              <w:rPr>
                <w:sz w:val="20"/>
                <w:szCs w:val="20"/>
                <w:lang w:val="kk-KZ"/>
              </w:rPr>
              <w:t>О</w:t>
            </w:r>
            <w:r w:rsidR="001C63F9">
              <w:rPr>
                <w:sz w:val="20"/>
                <w:szCs w:val="20"/>
              </w:rPr>
              <w:t xml:space="preserve">владеть основными </w:t>
            </w:r>
            <w:r w:rsidR="001C63F9">
              <w:rPr>
                <w:sz w:val="20"/>
                <w:szCs w:val="20"/>
                <w:lang w:val="kk-KZ"/>
              </w:rPr>
              <w:t xml:space="preserve">антропологическими </w:t>
            </w:r>
            <w:r w:rsidR="001C63F9">
              <w:rPr>
                <w:sz w:val="20"/>
                <w:szCs w:val="20"/>
              </w:rPr>
              <w:t xml:space="preserve"> и  археологически</w:t>
            </w:r>
            <w:r w:rsidR="001C63F9">
              <w:rPr>
                <w:sz w:val="20"/>
                <w:szCs w:val="20"/>
                <w:lang w:val="kk-KZ"/>
              </w:rPr>
              <w:t xml:space="preserve">ми данными </w:t>
            </w:r>
            <w:r w:rsidR="002C1CF6" w:rsidRPr="002C1CF6">
              <w:rPr>
                <w:sz w:val="20"/>
                <w:szCs w:val="20"/>
              </w:rPr>
              <w:t xml:space="preserve"> для </w:t>
            </w:r>
            <w:r w:rsidR="001C63F9">
              <w:rPr>
                <w:sz w:val="20"/>
                <w:szCs w:val="20"/>
                <w:lang w:val="kk-KZ"/>
              </w:rPr>
              <w:t>изучения этнического состава и этногенеза казахского народа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BC6358" w:rsidRDefault="00A02A85" w:rsidP="00BC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</w:rPr>
              <w:t xml:space="preserve">Анализ научной литературы и статей по </w:t>
            </w:r>
            <w:r w:rsidR="00BC6358">
              <w:rPr>
                <w:sz w:val="20"/>
                <w:szCs w:val="20"/>
                <w:lang w:val="kk-KZ"/>
              </w:rPr>
              <w:t>истории древних и средневековых тюркских племен живших на территории Казахстана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513261" w:rsidRDefault="00A02A85" w:rsidP="00BC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412670">
              <w:rPr>
                <w:lang w:val="kk-KZ"/>
              </w:rPr>
              <w:t>.</w:t>
            </w:r>
            <w:r w:rsidR="00FA79B5">
              <w:rPr>
                <w:bCs/>
                <w:sz w:val="20"/>
                <w:szCs w:val="20"/>
                <w:lang w:val="kk-KZ"/>
              </w:rPr>
              <w:t xml:space="preserve">Правильное </w:t>
            </w:r>
            <w:r w:rsidR="00FA79B5" w:rsidRPr="00FA79B5">
              <w:rPr>
                <w:bCs/>
                <w:sz w:val="20"/>
                <w:szCs w:val="20"/>
                <w:lang w:val="kk-KZ"/>
              </w:rPr>
              <w:t>применение направлений изучени</w:t>
            </w:r>
            <w:r w:rsidR="00BC6358">
              <w:rPr>
                <w:bCs/>
                <w:sz w:val="20"/>
                <w:szCs w:val="20"/>
                <w:lang w:val="kk-KZ"/>
              </w:rPr>
              <w:t>и этногенеза тюркских племен и народов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513FE2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  <w:r w:rsidR="009666BB">
              <w:t xml:space="preserve"> </w:t>
            </w:r>
            <w:r w:rsidR="009666BB" w:rsidRPr="009666BB">
              <w:rPr>
                <w:sz w:val="20"/>
                <w:szCs w:val="20"/>
              </w:rPr>
              <w:t>Закреплять письменные и устные практические навыки, закрепленные в академическом сообществе; знакомить магистрантов с основными принципами научной трудовой этики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0D1519">
              <w:rPr>
                <w:sz w:val="20"/>
                <w:szCs w:val="20"/>
              </w:rPr>
              <w:t>Должен</w:t>
            </w:r>
            <w:r w:rsidR="000D1519">
              <w:rPr>
                <w:sz w:val="20"/>
                <w:szCs w:val="20"/>
                <w:lang w:val="kk-KZ"/>
              </w:rPr>
              <w:t xml:space="preserve"> </w:t>
            </w:r>
            <w:r w:rsidR="000D1519" w:rsidRPr="000D1519">
              <w:rPr>
                <w:sz w:val="20"/>
                <w:szCs w:val="20"/>
              </w:rPr>
              <w:t>демонстрировать способность и готовность: применять полученные знания на практике.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12670" w:rsidRPr="00412670">
              <w:rPr>
                <w:sz w:val="20"/>
                <w:szCs w:val="20"/>
                <w:lang w:val="kk-KZ"/>
              </w:rPr>
              <w:t>К</w:t>
            </w:r>
            <w:r w:rsidR="00412670" w:rsidRPr="00412670">
              <w:rPr>
                <w:sz w:val="20"/>
                <w:szCs w:val="20"/>
              </w:rPr>
              <w:t>ритически</w:t>
            </w:r>
            <w:r w:rsidR="00412670" w:rsidRPr="00412670">
              <w:rPr>
                <w:sz w:val="20"/>
                <w:szCs w:val="20"/>
                <w:lang w:val="kk-KZ"/>
              </w:rPr>
              <w:t>ий</w:t>
            </w:r>
            <w:r w:rsidR="00412670" w:rsidRPr="00412670">
              <w:rPr>
                <w:sz w:val="20"/>
                <w:szCs w:val="20"/>
              </w:rPr>
              <w:t xml:space="preserve"> анализировать источники информации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9666B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666BB">
              <w:t xml:space="preserve"> </w:t>
            </w:r>
            <w:r w:rsidR="009666BB" w:rsidRPr="009666BB">
              <w:rPr>
                <w:sz w:val="20"/>
                <w:szCs w:val="20"/>
              </w:rPr>
              <w:t>Уметь применять конкретную методологию</w:t>
            </w:r>
            <w:r w:rsidR="001C63F9">
              <w:rPr>
                <w:sz w:val="20"/>
                <w:szCs w:val="20"/>
                <w:lang w:val="kk-KZ"/>
              </w:rPr>
              <w:t xml:space="preserve"> и утверждения ученых</w:t>
            </w:r>
            <w:r w:rsidR="009666BB" w:rsidRPr="009666BB">
              <w:rPr>
                <w:sz w:val="20"/>
                <w:szCs w:val="20"/>
              </w:rPr>
              <w:t xml:space="preserve"> в ходе исследования и владеть научной направленностью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71CF6" w:rsidRDefault="00A02A85" w:rsidP="00BC635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D71CF6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Определение места методологии в системе </w:t>
            </w:r>
            <w:r w:rsidR="00BC6358">
              <w:rPr>
                <w:sz w:val="20"/>
                <w:szCs w:val="20"/>
                <w:lang w:val="kk-KZ"/>
              </w:rPr>
              <w:t xml:space="preserve">исторических 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наук 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63AAC" w:rsidRDefault="00A02A85" w:rsidP="00BC635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363AAC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Правильное применение направлений изучения </w:t>
            </w:r>
            <w:r w:rsidR="00BC6358">
              <w:rPr>
                <w:sz w:val="20"/>
                <w:szCs w:val="20"/>
                <w:lang w:val="kk-KZ"/>
              </w:rPr>
              <w:t>культур кочевых племен древнего и средневекового Казахстана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D70D21" w:rsidP="002159D8">
            <w:pPr>
              <w:rPr>
                <w:sz w:val="20"/>
                <w:szCs w:val="20"/>
                <w:lang w:val="kk-KZ"/>
              </w:rPr>
            </w:pPr>
            <w:r w:rsidRPr="00D70D21">
              <w:rPr>
                <w:sz w:val="20"/>
                <w:szCs w:val="20"/>
                <w:lang w:val="kk-KZ"/>
              </w:rPr>
              <w:t>История археологии, введение в археологию, Основы археологии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A02A85" w:rsidP="002159D8">
            <w:pPr>
              <w:rPr>
                <w:sz w:val="20"/>
                <w:szCs w:val="20"/>
                <w:lang w:val="kk-KZ"/>
              </w:rPr>
            </w:pPr>
          </w:p>
        </w:tc>
      </w:tr>
      <w:tr w:rsidR="00A02A85" w:rsidRPr="003F2DC5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16E2" w:rsidRDefault="00A02A85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B516E2" w:rsidRDefault="00B516E2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516E2">
              <w:rPr>
                <w:b/>
                <w:color w:val="000000"/>
                <w:sz w:val="20"/>
                <w:szCs w:val="20"/>
              </w:rPr>
              <w:t>О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:rsidR="00525A08" w:rsidRPr="00525A08" w:rsidRDefault="00B90B4F" w:rsidP="00B90B4F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90B4F">
              <w:rPr>
                <w:sz w:val="20"/>
                <w:szCs w:val="20"/>
              </w:rPr>
              <w:t>1.Байпаков К.М., Таймагамбетов Ж.К. Археология Казахстана. Уч.пос. Алматы., 2006</w:t>
            </w:r>
            <w:r>
              <w:rPr>
                <w:sz w:val="20"/>
                <w:szCs w:val="20"/>
                <w:lang w:val="kk-KZ"/>
              </w:rPr>
              <w:t xml:space="preserve">                    </w:t>
            </w:r>
            <w:r w:rsidRPr="00B90B4F">
              <w:rPr>
                <w:sz w:val="20"/>
                <w:szCs w:val="20"/>
              </w:rPr>
              <w:t xml:space="preserve"> 2.Исмагулов О.И. Население Казахстана от эпохи бронзы до современности. А-А., 1970 </w:t>
            </w:r>
            <w:r>
              <w:rPr>
                <w:sz w:val="20"/>
                <w:szCs w:val="20"/>
                <w:lang w:val="kk-KZ"/>
              </w:rPr>
              <w:t xml:space="preserve">                             </w:t>
            </w:r>
            <w:r w:rsidRPr="00B90B4F">
              <w:rPr>
                <w:sz w:val="20"/>
                <w:szCs w:val="20"/>
              </w:rPr>
              <w:t xml:space="preserve">3. Байпаков К.М. Великий шелковый путь на территории Казахстана. Алматы., 2007 </w:t>
            </w:r>
            <w:r>
              <w:rPr>
                <w:sz w:val="20"/>
                <w:szCs w:val="20"/>
                <w:lang w:val="kk-KZ"/>
              </w:rPr>
              <w:t xml:space="preserve">                                   </w:t>
            </w:r>
            <w:r w:rsidRPr="00B90B4F">
              <w:rPr>
                <w:sz w:val="20"/>
                <w:szCs w:val="20"/>
              </w:rPr>
              <w:t xml:space="preserve">4. Байпаков К.М. Средневековые города Казахстана на Великом Шелковом пути. Алматы.,1998 5.Акишев К.А., Кушаев Г.А. Древняя культура саков и усуней долины р. Или. Алма-Ата., 1963. </w:t>
            </w:r>
            <w:r>
              <w:rPr>
                <w:sz w:val="20"/>
                <w:szCs w:val="20"/>
                <w:lang w:val="kk-KZ"/>
              </w:rPr>
              <w:t xml:space="preserve">                </w:t>
            </w:r>
            <w:r w:rsidRPr="00B90B4F">
              <w:rPr>
                <w:sz w:val="20"/>
                <w:szCs w:val="20"/>
              </w:rPr>
              <w:t xml:space="preserve">6. Аманжолов А.С. История и теория древнетюркского письма. А., 2003.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</w:t>
            </w:r>
            <w:r w:rsidRPr="00B90B4F">
              <w:rPr>
                <w:sz w:val="20"/>
                <w:szCs w:val="20"/>
              </w:rPr>
              <w:t>7. Ахинжанов С.М. Кыпчаки в истории средневекового Казахстана. А., 1989.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</w:t>
            </w:r>
            <w:r w:rsidRPr="00B90B4F">
              <w:rPr>
                <w:sz w:val="20"/>
                <w:szCs w:val="20"/>
              </w:rPr>
              <w:t xml:space="preserve"> </w:t>
            </w:r>
          </w:p>
          <w:p w:rsidR="00A02A85" w:rsidRDefault="009F6DB5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:rsidR="00B90B4F" w:rsidRPr="00B516E2" w:rsidRDefault="00B90B4F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B4F" w:rsidRPr="00B90B4F" w:rsidRDefault="00B90B4F" w:rsidP="00B90B4F">
            <w:pPr>
              <w:shd w:val="clear" w:color="auto" w:fill="FFFFFF"/>
              <w:rPr>
                <w:rFonts w:ascii="Arial" w:hAnsi="Arial" w:cs="Arial"/>
                <w:color w:val="4D5156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B90B4F">
              <w:rPr>
                <w:sz w:val="20"/>
                <w:szCs w:val="20"/>
              </w:rPr>
              <w:t xml:space="preserve">. Байпаков К.М. Средневековая городская культура Южного Казахстана и Семиречья. А., 1986. </w:t>
            </w:r>
            <w:r>
              <w:rPr>
                <w:sz w:val="20"/>
                <w:szCs w:val="20"/>
                <w:lang w:val="kk-KZ"/>
              </w:rPr>
              <w:t xml:space="preserve">                             2</w:t>
            </w:r>
            <w:r w:rsidRPr="00B90B4F">
              <w:rPr>
                <w:sz w:val="20"/>
                <w:szCs w:val="20"/>
              </w:rPr>
              <w:t>. Гуцалов С.Ю. Древние кочевники Южного Приуралья УП-</w:t>
            </w:r>
            <w:r>
              <w:rPr>
                <w:sz w:val="20"/>
                <w:szCs w:val="20"/>
              </w:rPr>
              <w:t xml:space="preserve">1 вв. до н.э. Уральс ., 2004. </w:t>
            </w:r>
            <w:r>
              <w:rPr>
                <w:sz w:val="20"/>
                <w:szCs w:val="20"/>
                <w:lang w:val="kk-KZ"/>
              </w:rPr>
              <w:t>3</w:t>
            </w:r>
            <w:r w:rsidRPr="00B90B4F">
              <w:rPr>
                <w:sz w:val="20"/>
                <w:szCs w:val="20"/>
              </w:rPr>
              <w:t>.Досымбаева А.М. Западный Тюркский каганат. Культурное наслед</w:t>
            </w:r>
            <w:r>
              <w:rPr>
                <w:sz w:val="20"/>
                <w:szCs w:val="20"/>
              </w:rPr>
              <w:t xml:space="preserve">ие Казахской степи. А., 2006. </w:t>
            </w:r>
            <w:r>
              <w:rPr>
                <w:sz w:val="20"/>
                <w:szCs w:val="20"/>
                <w:lang w:val="kk-KZ"/>
              </w:rPr>
              <w:t>4</w:t>
            </w:r>
            <w:r w:rsidRPr="00B90B4F">
              <w:rPr>
                <w:sz w:val="20"/>
                <w:szCs w:val="20"/>
              </w:rPr>
              <w:t xml:space="preserve">. Гумилев Л.Н. Древние тюрки. М.,1967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5</w:t>
            </w:r>
            <w:r w:rsidRPr="00B90B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90B4F">
              <w:rPr>
                <w:sz w:val="20"/>
                <w:szCs w:val="20"/>
              </w:rPr>
              <w:t>Боровкова Л.А. Кушанское царство (по древним китайским источникам). М., 2005.</w:t>
            </w:r>
          </w:p>
          <w:p w:rsidR="00B90B4F" w:rsidRPr="00525A08" w:rsidRDefault="00B90B4F" w:rsidP="00B90B4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545F7" w:rsidRPr="004545F7" w:rsidRDefault="004545F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EB4E31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591C94">
              <w:rPr>
                <w:color w:val="000000" w:themeColor="text1"/>
                <w:sz w:val="20"/>
                <w:szCs w:val="20"/>
                <w:lang w:val="kk-KZ"/>
              </w:rPr>
              <w:t>Центрнальный госудапственный музей</w:t>
            </w:r>
          </w:p>
          <w:p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91C94">
              <w:rPr>
                <w:color w:val="000000" w:themeColor="text1"/>
                <w:sz w:val="20"/>
                <w:szCs w:val="20"/>
                <w:lang w:val="kk-KZ"/>
              </w:rPr>
              <w:t>Институт востоковедения</w:t>
            </w:r>
          </w:p>
          <w:p w:rsidR="00025979" w:rsidRDefault="00025979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Институт археологии им А.Х. Маргулана</w:t>
            </w:r>
          </w:p>
          <w:p w:rsidR="00591C94" w:rsidRPr="001A4025" w:rsidRDefault="00591C94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4. Институт истории и этнографии им Ч. Валиханова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02A85" w:rsidRPr="00EB4E3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:rsidR="00BC523A" w:rsidRPr="00CF0310" w:rsidRDefault="00A02A85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EB4E31">
              <w:rPr>
                <w:color w:val="000000"/>
                <w:sz w:val="20"/>
                <w:szCs w:val="20"/>
                <w:lang w:val="kk-KZ"/>
              </w:rPr>
              <w:t>1</w:t>
            </w:r>
            <w:r w:rsidR="00BC523A" w:rsidRPr="00CF0310">
              <w:rPr>
                <w:sz w:val="20"/>
                <w:szCs w:val="20"/>
                <w:lang w:val="kk-KZ"/>
              </w:rPr>
              <w:t xml:space="preserve">. </w:t>
            </w:r>
            <w:hyperlink r:id="rId11" w:history="1">
              <w:r w:rsidR="00BC523A" w:rsidRPr="00CF031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C523A" w:rsidRPr="00CF0310" w:rsidRDefault="00BC523A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BC523A" w:rsidRPr="00CF0310" w:rsidRDefault="00BC523A" w:rsidP="00BC523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984BD7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984BD7">
              <w:rPr>
                <w:b/>
                <w:sz w:val="20"/>
                <w:szCs w:val="20"/>
              </w:rPr>
              <w:t>)</w:t>
            </w:r>
            <w:r w:rsidR="003F0CE9" w:rsidRPr="00984BD7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 w:rsidR="002A5787">
              <w:rPr>
                <w:sz w:val="16"/>
                <w:szCs w:val="16"/>
              </w:rPr>
              <w:t>.Я</w:t>
            </w:r>
            <w:r w:rsidR="002A5787" w:rsidRPr="00665FD2">
              <w:rPr>
                <w:sz w:val="16"/>
                <w:szCs w:val="16"/>
              </w:rPr>
              <w:t>вляетсятекущимпоказателемуспеваемости</w:t>
            </w:r>
            <w:r w:rsidR="008B6044">
              <w:rPr>
                <w:sz w:val="16"/>
                <w:szCs w:val="16"/>
              </w:rPr>
              <w:t>.О</w:t>
            </w:r>
            <w:r w:rsidR="002A5787"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B6A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0E784D" w:rsidRDefault="002668F7" w:rsidP="00ED797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FC5F3A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4109B8">
              <w:rPr>
                <w:b/>
                <w:sz w:val="20"/>
                <w:szCs w:val="20"/>
                <w:lang w:val="kk-KZ"/>
              </w:rPr>
              <w:t>Древние племена РЖВ и их роль в этнокультурных процессах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ED7975" w:rsidRPr="00ED7975">
              <w:rPr>
                <w:sz w:val="20"/>
                <w:szCs w:val="20"/>
              </w:rPr>
              <w:t>Введение. Цели и задачи изучаемой дисциплины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53B2E" w:rsidRDefault="008642A4" w:rsidP="00ED797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353B2E" w:rsidRPr="00353B2E">
              <w:rPr>
                <w:sz w:val="20"/>
                <w:szCs w:val="20"/>
                <w:lang w:val="kk-KZ"/>
              </w:rPr>
              <w:t>Письменные источники о племенах обитавших на территории Казахстана в древности и средневековье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4D43BD" w:rsidRPr="004D43BD">
              <w:rPr>
                <w:sz w:val="20"/>
                <w:szCs w:val="20"/>
              </w:rPr>
              <w:t>Этнокультурные процессы в сако-скифском конфедерации племен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53B2E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21BB1">
              <w:rPr>
                <w:b/>
                <w:sz w:val="20"/>
                <w:szCs w:val="20"/>
                <w:lang w:val="kk-KZ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2</w:t>
            </w:r>
            <w:r w:rsidRPr="006C1D05">
              <w:rPr>
                <w:b/>
                <w:sz w:val="20"/>
                <w:szCs w:val="20"/>
              </w:rPr>
              <w:t>.</w:t>
            </w:r>
            <w:r w:rsidR="006C1D05" w:rsidRPr="006C1D05">
              <w:rPr>
                <w:sz w:val="20"/>
                <w:szCs w:val="20"/>
              </w:rPr>
              <w:t xml:space="preserve"> </w:t>
            </w:r>
            <w:r w:rsidR="00353B2E">
              <w:rPr>
                <w:sz w:val="20"/>
                <w:szCs w:val="20"/>
                <w:lang w:val="kk-KZ"/>
              </w:rPr>
              <w:t>Скифо-сибирский звериный стиль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51840" w:rsidRPr="00D51840" w:rsidRDefault="008642A4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3.</w:t>
            </w:r>
            <w:r w:rsidR="004D43BD">
              <w:t xml:space="preserve"> </w:t>
            </w:r>
            <w:r w:rsidR="004D43BD" w:rsidRPr="004D43BD">
              <w:rPr>
                <w:sz w:val="20"/>
                <w:szCs w:val="20"/>
              </w:rPr>
              <w:t>Великое переселение народов. Савромато-сарматский мир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53692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853692">
              <w:rPr>
                <w:color w:val="000000" w:themeColor="text1"/>
                <w:sz w:val="20"/>
                <w:szCs w:val="20"/>
                <w:lang w:val="kk-KZ"/>
              </w:rPr>
              <w:t xml:space="preserve">Культура </w:t>
            </w:r>
            <w:r w:rsidR="00853692" w:rsidRPr="00853692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853692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853692" w:rsidRPr="00853692">
              <w:rPr>
                <w:color w:val="000000" w:themeColor="text1"/>
                <w:sz w:val="20"/>
                <w:szCs w:val="20"/>
                <w:lang w:val="kk-KZ"/>
              </w:rPr>
              <w:t>рматских племен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1BB1" w:rsidRPr="00197271" w:rsidRDefault="008642A4" w:rsidP="00ED797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</w:t>
            </w:r>
            <w:r w:rsidRPr="006C1D05">
              <w:rPr>
                <w:b/>
                <w:sz w:val="20"/>
                <w:szCs w:val="20"/>
              </w:rPr>
              <w:t xml:space="preserve">.  </w:t>
            </w:r>
            <w:r w:rsidR="00197271" w:rsidRPr="00197271">
              <w:rPr>
                <w:sz w:val="20"/>
                <w:szCs w:val="20"/>
                <w:lang w:val="kk-KZ"/>
              </w:rPr>
              <w:t>Античные письменные источники о древних племенах обитавших на территории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D43BD" w:rsidRPr="004D43BD">
              <w:rPr>
                <w:sz w:val="20"/>
                <w:szCs w:val="20"/>
              </w:rPr>
              <w:t>Племенное обьединение юэчжи в истории этнокультурных процессах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C1D05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353B2E" w:rsidRPr="00353B2E">
              <w:rPr>
                <w:color w:val="000000" w:themeColor="text1"/>
                <w:sz w:val="20"/>
                <w:szCs w:val="20"/>
              </w:rPr>
              <w:t>История культуры гуннов.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D43BD" w:rsidRPr="004D43BD">
              <w:rPr>
                <w:sz w:val="20"/>
                <w:szCs w:val="20"/>
              </w:rPr>
              <w:t>Историко-культурное наследие гуннских племен в этнокультурных процессах древнего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54350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543508">
              <w:t xml:space="preserve"> </w:t>
            </w:r>
            <w:r w:rsidR="001B77FA">
              <w:rPr>
                <w:sz w:val="20"/>
                <w:szCs w:val="20"/>
                <w:lang w:val="kk-KZ"/>
              </w:rPr>
              <w:t>О</w:t>
            </w:r>
            <w:r w:rsidR="001B77FA" w:rsidRPr="001B77FA">
              <w:rPr>
                <w:sz w:val="20"/>
                <w:szCs w:val="20"/>
              </w:rPr>
              <w:t>бщая характеристика гунно-сарматского периода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C443FD" w:rsidRDefault="002668F7" w:rsidP="00ED79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443FD">
              <w:rPr>
                <w:b/>
                <w:sz w:val="20"/>
                <w:szCs w:val="20"/>
              </w:rPr>
              <w:t>МОДУЛЬ 2</w:t>
            </w:r>
            <w:r w:rsidR="00C443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4109B8">
              <w:rPr>
                <w:b/>
                <w:sz w:val="20"/>
                <w:szCs w:val="20"/>
                <w:lang w:val="kk-KZ"/>
              </w:rPr>
              <w:t>Антропология и ритальные сооружения в этнокультурных процессах</w:t>
            </w:r>
          </w:p>
        </w:tc>
      </w:tr>
      <w:tr w:rsidR="002F7F65" w:rsidRPr="003F2DC5" w:rsidTr="002159D8">
        <w:tc>
          <w:tcPr>
            <w:tcW w:w="871" w:type="dxa"/>
            <w:vMerge w:val="restart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691452">
              <w:t xml:space="preserve"> </w:t>
            </w:r>
            <w:r w:rsidR="004D43BD" w:rsidRPr="004D43BD">
              <w:rPr>
                <w:sz w:val="20"/>
                <w:szCs w:val="20"/>
              </w:rPr>
              <w:t>Духовная культура древних племен обитавших на территории Казахстана и их роль в этнокультурных процессах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F856D7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5C7BF6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2F7F65" w:rsidRPr="00697944">
              <w:rPr>
                <w:b/>
                <w:sz w:val="20"/>
                <w:szCs w:val="20"/>
              </w:rPr>
              <w:t>6</w:t>
            </w:r>
            <w:r w:rsidR="002F7F65" w:rsidRPr="005C7BF6">
              <w:rPr>
                <w:sz w:val="20"/>
                <w:szCs w:val="20"/>
              </w:rPr>
              <w:t>.</w:t>
            </w:r>
            <w:r w:rsidR="00195212" w:rsidRPr="005C7BF6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5C7BF6" w:rsidRPr="005C7BF6">
              <w:rPr>
                <w:bCs/>
                <w:sz w:val="20"/>
                <w:szCs w:val="20"/>
                <w:lang w:val="kk-KZ" w:eastAsia="ru-RU"/>
              </w:rPr>
              <w:t>Великий шелковый путь и ее значение в этнокультурных процессах Казахстана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D51840" w:rsidRDefault="00F856D7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7.</w:t>
            </w:r>
            <w:r w:rsidR="00C441D9">
              <w:t xml:space="preserve"> </w:t>
            </w:r>
            <w:r w:rsidR="004D43BD" w:rsidRPr="004D43BD">
              <w:rPr>
                <w:sz w:val="20"/>
                <w:szCs w:val="20"/>
              </w:rPr>
              <w:t>Каменные стеллы, балбалы как показатели этнокультурных процессов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45B0B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195212" w:rsidRPr="00DD7B4B">
              <w:rPr>
                <w:sz w:val="19"/>
                <w:szCs w:val="19"/>
                <w:lang w:eastAsia="ru-RU"/>
              </w:rPr>
              <w:t xml:space="preserve"> </w:t>
            </w:r>
            <w:r w:rsidR="00645B0B" w:rsidRPr="00353B2E">
              <w:rPr>
                <w:sz w:val="20"/>
                <w:szCs w:val="20"/>
                <w:lang w:val="kk-KZ" w:eastAsia="ru-RU"/>
              </w:rPr>
              <w:t>Мегалиты, кулпытасы,руническая письменность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F856D7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8267A" w:rsidRPr="00197271" w:rsidRDefault="00080FF0" w:rsidP="00ED79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197271" w:rsidRPr="00197271">
              <w:rPr>
                <w:sz w:val="20"/>
                <w:szCs w:val="20"/>
                <w:lang w:val="kk-KZ"/>
              </w:rPr>
              <w:t>Хунны, гунны, сюнну</w:t>
            </w:r>
          </w:p>
        </w:tc>
        <w:tc>
          <w:tcPr>
            <w:tcW w:w="861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821BB1" w:rsidRDefault="00821B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2159D8">
        <w:tc>
          <w:tcPr>
            <w:tcW w:w="9782" w:type="dxa"/>
            <w:gridSpan w:val="3"/>
            <w:shd w:val="clear" w:color="auto" w:fill="auto"/>
          </w:tcPr>
          <w:p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D43BD" w:rsidRPr="004D43BD">
              <w:rPr>
                <w:sz w:val="20"/>
                <w:szCs w:val="20"/>
              </w:rPr>
              <w:t>Динамика антропологических показателей древних и средневековых насельников Казахстана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F856D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AC4C9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333E" w:rsidRPr="00645B0B">
              <w:rPr>
                <w:bCs/>
                <w:iCs/>
                <w:noProof/>
                <w:spacing w:val="15"/>
                <w:sz w:val="20"/>
                <w:szCs w:val="20"/>
              </w:rPr>
              <w:t xml:space="preserve">Роль антропологических материалов в реконструкции </w:t>
            </w:r>
            <w:r w:rsidR="00AE333E" w:rsidRPr="00645B0B">
              <w:rPr>
                <w:bCs/>
                <w:iCs/>
                <w:noProof/>
                <w:spacing w:val="2"/>
                <w:sz w:val="20"/>
                <w:szCs w:val="20"/>
              </w:rPr>
              <w:t xml:space="preserve">этногенетических </w:t>
            </w:r>
            <w:r w:rsidR="00AE333E" w:rsidRPr="00645B0B">
              <w:rPr>
                <w:iCs/>
                <w:noProof/>
                <w:spacing w:val="2"/>
                <w:sz w:val="20"/>
                <w:szCs w:val="20"/>
              </w:rPr>
              <w:t>пучков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54350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543508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543508">
        <w:trPr>
          <w:trHeight w:val="249"/>
        </w:trPr>
        <w:tc>
          <w:tcPr>
            <w:tcW w:w="871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Новый взгляд на этническую идентичность скифов и саков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F856D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AC4C9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C7BF6" w:rsidRPr="005C7BF6">
              <w:rPr>
                <w:color w:val="000000" w:themeColor="text1"/>
                <w:sz w:val="20"/>
                <w:szCs w:val="20"/>
                <w:lang w:val="kk-KZ"/>
              </w:rPr>
              <w:t>Значение культуры средневековых городов Казахстана в этнических процессах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197271" w:rsidRDefault="00B43A2C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543508"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197271" w:rsidRPr="00197271">
              <w:rPr>
                <w:sz w:val="20"/>
                <w:szCs w:val="20"/>
                <w:lang w:val="kk-KZ"/>
              </w:rPr>
              <w:t>Древние тюрки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6A7661" w:rsidRDefault="006A766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Культура и городская культура канглы в этнокультурных процессах раннего железного века Казахстана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F856D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333E" w:rsidRPr="00AE333E">
              <w:rPr>
                <w:sz w:val="20"/>
                <w:szCs w:val="20"/>
              </w:rPr>
              <w:t>. Земледельческо-скотоводческие культуры Южного Казахстана и Семиречья (I в. до н.э. – V в. н.э.).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10509" w:type="dxa"/>
            <w:gridSpan w:val="4"/>
            <w:shd w:val="clear" w:color="auto" w:fill="auto"/>
          </w:tcPr>
          <w:p w:rsidR="00080FF0" w:rsidRPr="00697944" w:rsidRDefault="00080FF0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4109B8">
              <w:rPr>
                <w:b/>
                <w:sz w:val="20"/>
                <w:szCs w:val="20"/>
                <w:lang w:val="kk-KZ"/>
              </w:rPr>
              <w:t>. Этногенез Казахского народа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B68C0" w:rsidRPr="003F2DC5" w:rsidTr="002159D8">
        <w:tc>
          <w:tcPr>
            <w:tcW w:w="871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Место и роль усуньских племен в этнокультурных процессах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F856D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AC4C9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0049" w:rsidRPr="00040049">
              <w:rPr>
                <w:color w:val="000000" w:themeColor="text1"/>
                <w:sz w:val="20"/>
                <w:szCs w:val="20"/>
                <w:lang w:val="kk-KZ"/>
              </w:rPr>
              <w:t>Экономика и социальная структура канглы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Древние тюрки. Западно-тюркский каганат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F856D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28D6" w:rsidRPr="008428D6">
              <w:rPr>
                <w:bCs/>
                <w:iCs/>
                <w:noProof/>
                <w:spacing w:val="-3"/>
                <w:sz w:val="20"/>
                <w:szCs w:val="20"/>
              </w:rPr>
              <w:t xml:space="preserve">Тюркская эпоха в этногенезе </w:t>
            </w:r>
            <w:r w:rsidR="008428D6" w:rsidRPr="008428D6">
              <w:rPr>
                <w:iCs/>
                <w:noProof/>
                <w:spacing w:val="-3"/>
                <w:sz w:val="20"/>
                <w:szCs w:val="20"/>
              </w:rPr>
              <w:t>казахов.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Городская культура древних тюркских племен в этнокультурных процессах Казахстана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F856D7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D2F5B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13.</w:t>
            </w:r>
            <w:r w:rsidR="00BB1BDE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8428D6" w:rsidRPr="008428D6">
              <w:rPr>
                <w:bCs/>
                <w:iCs/>
                <w:noProof/>
                <w:spacing w:val="8"/>
                <w:sz w:val="20"/>
                <w:szCs w:val="20"/>
              </w:rPr>
              <w:t xml:space="preserve">Место кипчаков, огузов, найманов </w:t>
            </w:r>
            <w:r w:rsidR="008428D6" w:rsidRPr="008428D6">
              <w:rPr>
                <w:iCs/>
                <w:noProof/>
                <w:spacing w:val="8"/>
                <w:sz w:val="20"/>
                <w:szCs w:val="20"/>
              </w:rPr>
              <w:t xml:space="preserve">в </w:t>
            </w:r>
            <w:r w:rsidR="008428D6" w:rsidRPr="008428D6">
              <w:rPr>
                <w:bCs/>
                <w:iCs/>
                <w:noProof/>
                <w:spacing w:val="8"/>
                <w:sz w:val="20"/>
                <w:szCs w:val="20"/>
              </w:rPr>
              <w:t xml:space="preserve">этногенезе </w:t>
            </w:r>
            <w:r w:rsidR="008428D6" w:rsidRPr="008428D6">
              <w:rPr>
                <w:iCs/>
                <w:noProof/>
                <w:spacing w:val="8"/>
                <w:sz w:val="20"/>
                <w:szCs w:val="20"/>
              </w:rPr>
              <w:t>казахов.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6A7661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941A7A" w:rsidRPr="006E107D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Культура средневековых городов на Великом шелковом пути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F856D7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D51840">
        <w:trPr>
          <w:trHeight w:val="79"/>
        </w:trPr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181DC2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53C96" w:rsidRPr="00B53C96">
              <w:rPr>
                <w:color w:val="000000" w:themeColor="text1"/>
                <w:sz w:val="20"/>
                <w:szCs w:val="20"/>
                <w:lang w:val="kk-KZ"/>
              </w:rPr>
              <w:t>Степная цивилизация тюрков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19727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97271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941A7A" w:rsidRPr="00D00222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Религи</w:t>
            </w:r>
            <w:r w:rsidR="00D00222">
              <w:rPr>
                <w:sz w:val="20"/>
                <w:szCs w:val="20"/>
              </w:rPr>
              <w:t xml:space="preserve">я в этнокультурных процессах </w:t>
            </w:r>
            <w:r w:rsidR="00D00222">
              <w:rPr>
                <w:sz w:val="20"/>
                <w:szCs w:val="20"/>
                <w:lang w:val="en-US"/>
              </w:rPr>
              <w:t>c</w:t>
            </w:r>
            <w:r w:rsidR="00D00222">
              <w:rPr>
                <w:sz w:val="20"/>
                <w:szCs w:val="20"/>
              </w:rPr>
              <w:t>редневеково</w:t>
            </w:r>
            <w:r w:rsidR="00D00222">
              <w:rPr>
                <w:sz w:val="20"/>
                <w:szCs w:val="20"/>
                <w:lang w:val="kk-KZ"/>
              </w:rPr>
              <w:t>го</w:t>
            </w:r>
            <w:r w:rsidR="00D00222" w:rsidRPr="00D00222">
              <w:rPr>
                <w:sz w:val="20"/>
                <w:szCs w:val="20"/>
              </w:rPr>
              <w:t xml:space="preserve"> Казахстан</w:t>
            </w:r>
            <w:r w:rsidR="00D00222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F856D7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461CF" w:rsidRDefault="00181DC2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333E" w:rsidRPr="00070C62">
              <w:rPr>
                <w:b/>
                <w:iCs/>
                <w:noProof/>
                <w:spacing w:val="-1"/>
              </w:rPr>
              <w:t xml:space="preserve">. </w:t>
            </w:r>
            <w:r w:rsidR="00AE333E" w:rsidRPr="00AE333E">
              <w:rPr>
                <w:iCs/>
                <w:noProof/>
                <w:spacing w:val="-1"/>
                <w:sz w:val="20"/>
                <w:szCs w:val="20"/>
              </w:rPr>
              <w:t xml:space="preserve">Процесс </w:t>
            </w:r>
            <w:r w:rsidR="00AE333E" w:rsidRPr="00AE333E">
              <w:rPr>
                <w:bCs/>
                <w:iCs/>
                <w:noProof/>
                <w:spacing w:val="-1"/>
                <w:sz w:val="20"/>
                <w:szCs w:val="20"/>
              </w:rPr>
              <w:t xml:space="preserve">завершения становления </w:t>
            </w:r>
            <w:r w:rsidR="00AE333E" w:rsidRPr="00AE333E">
              <w:rPr>
                <w:iCs/>
                <w:noProof/>
                <w:spacing w:val="-1"/>
                <w:sz w:val="20"/>
                <w:szCs w:val="20"/>
              </w:rPr>
              <w:t xml:space="preserve">казахского </w:t>
            </w:r>
            <w:r w:rsidR="00AE333E" w:rsidRPr="00AE333E">
              <w:rPr>
                <w:bCs/>
                <w:iCs/>
                <w:noProof/>
                <w:spacing w:val="-1"/>
                <w:sz w:val="20"/>
                <w:szCs w:val="20"/>
              </w:rPr>
              <w:t>народа.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197271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</w:t>
            </w:r>
            <w:r w:rsidR="00197271" w:rsidRPr="00197271">
              <w:rPr>
                <w:sz w:val="20"/>
                <w:szCs w:val="20"/>
                <w:lang w:val="kk-KZ"/>
              </w:rPr>
              <w:t>Искусство раннего железного века Казахстана в этнокультурных процессах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821BB1" w:rsidRDefault="00D51840" w:rsidP="002A10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21BB1" w:rsidRPr="00821BB1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EB4E3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="004F3CB8">
              <w:rPr>
                <w:b/>
                <w:sz w:val="20"/>
                <w:szCs w:val="20"/>
              </w:rPr>
              <w:t>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B4D9C" w:rsidRPr="00EB4E31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3D47F6">
        <w:rPr>
          <w:b/>
          <w:sz w:val="20"/>
          <w:szCs w:val="20"/>
          <w:lang w:val="kk-KZ"/>
        </w:rPr>
        <w:t xml:space="preserve"> </w:t>
      </w:r>
      <w:r w:rsidR="00EB4E31">
        <w:rPr>
          <w:b/>
          <w:sz w:val="20"/>
          <w:szCs w:val="20"/>
          <w:lang w:val="kk-KZ"/>
        </w:rPr>
        <w:t>Байгунаков Д.С.</w:t>
      </w:r>
    </w:p>
    <w:p w:rsidR="00DB44A4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B4E31">
        <w:rPr>
          <w:b/>
          <w:sz w:val="20"/>
          <w:szCs w:val="20"/>
          <w:lang w:val="kk-KZ"/>
        </w:rPr>
        <w:t>Жуматаев Р.С</w:t>
      </w:r>
      <w:r w:rsidR="003D47F6">
        <w:rPr>
          <w:b/>
          <w:sz w:val="20"/>
          <w:szCs w:val="20"/>
          <w:lang w:val="kk-KZ"/>
        </w:rPr>
        <w:t xml:space="preserve">                                                                          </w:t>
      </w:r>
    </w:p>
    <w:p w:rsidR="00206E46" w:rsidRPr="003D47F6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3D47F6">
        <w:rPr>
          <w:b/>
          <w:sz w:val="20"/>
          <w:szCs w:val="20"/>
          <w:lang w:val="kk-KZ"/>
        </w:rPr>
        <w:t xml:space="preserve">   </w:t>
      </w:r>
      <w:r w:rsidR="00EB4E31">
        <w:rPr>
          <w:b/>
          <w:sz w:val="20"/>
          <w:szCs w:val="20"/>
          <w:lang w:val="kk-KZ"/>
        </w:rPr>
        <w:t>Бексеитов Г.Т.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Default="00F6159D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40" w:rsidRDefault="00837540" w:rsidP="004C6A23">
      <w:r>
        <w:separator/>
      </w:r>
    </w:p>
  </w:endnote>
  <w:endnote w:type="continuationSeparator" w:id="1">
    <w:p w:rsidR="00837540" w:rsidRDefault="00837540" w:rsidP="004C6A23">
      <w:r>
        <w:continuationSeparator/>
      </w:r>
    </w:p>
  </w:endnote>
  <w:endnote w:type="continuationNotice" w:id="2">
    <w:p w:rsidR="00837540" w:rsidRDefault="008375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40" w:rsidRDefault="00837540" w:rsidP="004C6A23">
      <w:r>
        <w:separator/>
      </w:r>
    </w:p>
  </w:footnote>
  <w:footnote w:type="continuationSeparator" w:id="1">
    <w:p w:rsidR="00837540" w:rsidRDefault="00837540" w:rsidP="004C6A23">
      <w:r>
        <w:continuationSeparator/>
      </w:r>
    </w:p>
  </w:footnote>
  <w:footnote w:type="continuationNotice" w:id="2">
    <w:p w:rsidR="00837540" w:rsidRDefault="008375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83B"/>
    <w:rsid w:val="00011C34"/>
    <w:rsid w:val="0001583E"/>
    <w:rsid w:val="00021CB8"/>
    <w:rsid w:val="00024786"/>
    <w:rsid w:val="00025979"/>
    <w:rsid w:val="0003132B"/>
    <w:rsid w:val="00033152"/>
    <w:rsid w:val="00033BCF"/>
    <w:rsid w:val="00035CC8"/>
    <w:rsid w:val="00040049"/>
    <w:rsid w:val="0004062C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519"/>
    <w:rsid w:val="000E048B"/>
    <w:rsid w:val="000E1A39"/>
    <w:rsid w:val="000E3AA2"/>
    <w:rsid w:val="000E3B00"/>
    <w:rsid w:val="000E5A3B"/>
    <w:rsid w:val="000E784D"/>
    <w:rsid w:val="000E7B93"/>
    <w:rsid w:val="000F0ACE"/>
    <w:rsid w:val="000F2D2E"/>
    <w:rsid w:val="0010667E"/>
    <w:rsid w:val="00107D66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ED7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1DC2"/>
    <w:rsid w:val="00182B08"/>
    <w:rsid w:val="00187B3E"/>
    <w:rsid w:val="00195212"/>
    <w:rsid w:val="00197271"/>
    <w:rsid w:val="001A1046"/>
    <w:rsid w:val="001A4025"/>
    <w:rsid w:val="001A4B41"/>
    <w:rsid w:val="001A5411"/>
    <w:rsid w:val="001A7302"/>
    <w:rsid w:val="001B06C3"/>
    <w:rsid w:val="001B0F79"/>
    <w:rsid w:val="001B77FA"/>
    <w:rsid w:val="001C095F"/>
    <w:rsid w:val="001C3867"/>
    <w:rsid w:val="001C3A00"/>
    <w:rsid w:val="001C3D29"/>
    <w:rsid w:val="001C63F9"/>
    <w:rsid w:val="001C6AA8"/>
    <w:rsid w:val="001D34DC"/>
    <w:rsid w:val="001D48AA"/>
    <w:rsid w:val="001D4997"/>
    <w:rsid w:val="001E1E8B"/>
    <w:rsid w:val="001E724B"/>
    <w:rsid w:val="001F0AF5"/>
    <w:rsid w:val="001F3EDD"/>
    <w:rsid w:val="001F5F52"/>
    <w:rsid w:val="00200490"/>
    <w:rsid w:val="00203226"/>
    <w:rsid w:val="00206CB4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19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CF6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3B2E"/>
    <w:rsid w:val="003603E4"/>
    <w:rsid w:val="00361A10"/>
    <w:rsid w:val="003635F5"/>
    <w:rsid w:val="00363AAC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7F6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9B8"/>
    <w:rsid w:val="00410A74"/>
    <w:rsid w:val="0041235C"/>
    <w:rsid w:val="00412670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45F7"/>
    <w:rsid w:val="00455671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B60EA"/>
    <w:rsid w:val="004C6373"/>
    <w:rsid w:val="004C6A23"/>
    <w:rsid w:val="004D1D6C"/>
    <w:rsid w:val="004D43BD"/>
    <w:rsid w:val="004D4F2C"/>
    <w:rsid w:val="004E0007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450D"/>
    <w:rsid w:val="00513261"/>
    <w:rsid w:val="00513FE2"/>
    <w:rsid w:val="00517B82"/>
    <w:rsid w:val="00525A08"/>
    <w:rsid w:val="00530C39"/>
    <w:rsid w:val="005326DC"/>
    <w:rsid w:val="00533B39"/>
    <w:rsid w:val="0053541C"/>
    <w:rsid w:val="00541947"/>
    <w:rsid w:val="00541D7F"/>
    <w:rsid w:val="0054350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1C94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C7BF6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AD6"/>
    <w:rsid w:val="0063525E"/>
    <w:rsid w:val="006401F6"/>
    <w:rsid w:val="006422ED"/>
    <w:rsid w:val="00642A24"/>
    <w:rsid w:val="00645277"/>
    <w:rsid w:val="00645B0B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1452"/>
    <w:rsid w:val="0069629C"/>
    <w:rsid w:val="00696C05"/>
    <w:rsid w:val="00697944"/>
    <w:rsid w:val="006A5501"/>
    <w:rsid w:val="006A6C8C"/>
    <w:rsid w:val="006A7661"/>
    <w:rsid w:val="006A7FC8"/>
    <w:rsid w:val="006B63EB"/>
    <w:rsid w:val="006C08B9"/>
    <w:rsid w:val="006C1D05"/>
    <w:rsid w:val="006C2B71"/>
    <w:rsid w:val="006C35BA"/>
    <w:rsid w:val="006C56C2"/>
    <w:rsid w:val="006D70F3"/>
    <w:rsid w:val="006E0CA9"/>
    <w:rsid w:val="006E107D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4011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572F0"/>
    <w:rsid w:val="00775307"/>
    <w:rsid w:val="0077543C"/>
    <w:rsid w:val="0078340B"/>
    <w:rsid w:val="00792E68"/>
    <w:rsid w:val="00796885"/>
    <w:rsid w:val="007A0E6C"/>
    <w:rsid w:val="007A26C4"/>
    <w:rsid w:val="007A68F5"/>
    <w:rsid w:val="007B664C"/>
    <w:rsid w:val="007B6A6C"/>
    <w:rsid w:val="007C220D"/>
    <w:rsid w:val="007C3AF9"/>
    <w:rsid w:val="007D132F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1BB1"/>
    <w:rsid w:val="0082339C"/>
    <w:rsid w:val="00830F23"/>
    <w:rsid w:val="008358C3"/>
    <w:rsid w:val="00837540"/>
    <w:rsid w:val="008428D6"/>
    <w:rsid w:val="00844D39"/>
    <w:rsid w:val="0084687B"/>
    <w:rsid w:val="00852424"/>
    <w:rsid w:val="00852FCB"/>
    <w:rsid w:val="00853692"/>
    <w:rsid w:val="00854136"/>
    <w:rsid w:val="008642A4"/>
    <w:rsid w:val="00865FC5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13AB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6BB"/>
    <w:rsid w:val="00971713"/>
    <w:rsid w:val="0097441F"/>
    <w:rsid w:val="009746F5"/>
    <w:rsid w:val="00977EC4"/>
    <w:rsid w:val="00984BD7"/>
    <w:rsid w:val="00986A7D"/>
    <w:rsid w:val="009930CB"/>
    <w:rsid w:val="0099766F"/>
    <w:rsid w:val="009A1FDA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B5"/>
    <w:rsid w:val="00A02A85"/>
    <w:rsid w:val="00A04790"/>
    <w:rsid w:val="00A06AE9"/>
    <w:rsid w:val="00A10160"/>
    <w:rsid w:val="00A10357"/>
    <w:rsid w:val="00A20B1F"/>
    <w:rsid w:val="00A22647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1CF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4D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C98"/>
    <w:rsid w:val="00AD019D"/>
    <w:rsid w:val="00AD2F5B"/>
    <w:rsid w:val="00AD337E"/>
    <w:rsid w:val="00AD6B19"/>
    <w:rsid w:val="00AE333E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6E2"/>
    <w:rsid w:val="00B5382C"/>
    <w:rsid w:val="00B53C96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0B4F"/>
    <w:rsid w:val="00BA558A"/>
    <w:rsid w:val="00BA62FC"/>
    <w:rsid w:val="00BB1114"/>
    <w:rsid w:val="00BB1BDE"/>
    <w:rsid w:val="00BB32DC"/>
    <w:rsid w:val="00BB6584"/>
    <w:rsid w:val="00BC4476"/>
    <w:rsid w:val="00BC523A"/>
    <w:rsid w:val="00BC6358"/>
    <w:rsid w:val="00BD0597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271C1"/>
    <w:rsid w:val="00C323E6"/>
    <w:rsid w:val="00C41C08"/>
    <w:rsid w:val="00C441D9"/>
    <w:rsid w:val="00C443FD"/>
    <w:rsid w:val="00C45CB1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B6A95"/>
    <w:rsid w:val="00CC2911"/>
    <w:rsid w:val="00CC3F5E"/>
    <w:rsid w:val="00CC483F"/>
    <w:rsid w:val="00CC59D8"/>
    <w:rsid w:val="00CD7587"/>
    <w:rsid w:val="00CE5FA3"/>
    <w:rsid w:val="00CE642C"/>
    <w:rsid w:val="00CF26E9"/>
    <w:rsid w:val="00D00222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270"/>
    <w:rsid w:val="00D42861"/>
    <w:rsid w:val="00D4478E"/>
    <w:rsid w:val="00D51840"/>
    <w:rsid w:val="00D534C1"/>
    <w:rsid w:val="00D6269D"/>
    <w:rsid w:val="00D62CCA"/>
    <w:rsid w:val="00D70D21"/>
    <w:rsid w:val="00D71CF6"/>
    <w:rsid w:val="00D73188"/>
    <w:rsid w:val="00D765EC"/>
    <w:rsid w:val="00D82A1B"/>
    <w:rsid w:val="00D82B17"/>
    <w:rsid w:val="00D85871"/>
    <w:rsid w:val="00D86236"/>
    <w:rsid w:val="00D8725E"/>
    <w:rsid w:val="00D90B92"/>
    <w:rsid w:val="00DA13F4"/>
    <w:rsid w:val="00DA2F7B"/>
    <w:rsid w:val="00DA338D"/>
    <w:rsid w:val="00DA782A"/>
    <w:rsid w:val="00DB06C9"/>
    <w:rsid w:val="00DB37F1"/>
    <w:rsid w:val="00DB3F5E"/>
    <w:rsid w:val="00DB44A4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3558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4E31"/>
    <w:rsid w:val="00EB5722"/>
    <w:rsid w:val="00EC2901"/>
    <w:rsid w:val="00EC3989"/>
    <w:rsid w:val="00EC3CF4"/>
    <w:rsid w:val="00ED01DB"/>
    <w:rsid w:val="00ED0B08"/>
    <w:rsid w:val="00ED23E8"/>
    <w:rsid w:val="00ED38C7"/>
    <w:rsid w:val="00ED40DF"/>
    <w:rsid w:val="00ED59F6"/>
    <w:rsid w:val="00ED7803"/>
    <w:rsid w:val="00ED7975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6058"/>
    <w:rsid w:val="00F71859"/>
    <w:rsid w:val="00F745E4"/>
    <w:rsid w:val="00F76949"/>
    <w:rsid w:val="00F80213"/>
    <w:rsid w:val="00F840AA"/>
    <w:rsid w:val="00F8439E"/>
    <w:rsid w:val="00F84930"/>
    <w:rsid w:val="00F856D7"/>
    <w:rsid w:val="00F94A10"/>
    <w:rsid w:val="00FA73F3"/>
    <w:rsid w:val="00FA79B5"/>
    <w:rsid w:val="00FB09ED"/>
    <w:rsid w:val="00FB11CB"/>
    <w:rsid w:val="00FB23B1"/>
    <w:rsid w:val="00FB3AEF"/>
    <w:rsid w:val="00FB7360"/>
    <w:rsid w:val="00FC031F"/>
    <w:rsid w:val="00FC1689"/>
    <w:rsid w:val="00FC411D"/>
    <w:rsid w:val="00FC5F3A"/>
    <w:rsid w:val="00FC6222"/>
    <w:rsid w:val="00FD0FA8"/>
    <w:rsid w:val="00FD34D0"/>
    <w:rsid w:val="00FD5226"/>
    <w:rsid w:val="00FD67A1"/>
    <w:rsid w:val="00FE6239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97"/>
  </w:style>
  <w:style w:type="paragraph" w:styleId="1">
    <w:name w:val="heading 1"/>
    <w:basedOn w:val="a"/>
    <w:next w:val="a"/>
    <w:rsid w:val="00BD05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05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05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05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D05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05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D05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05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D059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FA79B5"/>
  </w:style>
  <w:style w:type="character" w:styleId="aff1">
    <w:name w:val="Emphasis"/>
    <w:basedOn w:val="a0"/>
    <w:uiPriority w:val="20"/>
    <w:qFormat/>
    <w:rsid w:val="00454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1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A6350-B6CA-4001-B02A-DE67990C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173</cp:revision>
  <cp:lastPrinted>2023-11-02T05:36:00Z</cp:lastPrinted>
  <dcterms:created xsi:type="dcterms:W3CDTF">2023-09-18T11:56:00Z</dcterms:created>
  <dcterms:modified xsi:type="dcterms:W3CDTF">2024-01-26T04:36:00Z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